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4F" w:rsidRPr="00904475" w:rsidRDefault="003D7691" w:rsidP="00835DDB">
      <w:pPr>
        <w:jc w:val="center"/>
        <w:rPr>
          <w:sz w:val="32"/>
          <w:szCs w:val="32"/>
        </w:rPr>
      </w:pPr>
      <w:bookmarkStart w:id="0" w:name="_GoBack"/>
      <w:bookmarkEnd w:id="0"/>
      <w:r>
        <w:rPr>
          <w:color w:val="FF0000"/>
          <w:sz w:val="40"/>
          <w:szCs w:val="36"/>
        </w:rPr>
        <w:t xml:space="preserve">Delovni list: </w:t>
      </w:r>
      <w:r w:rsidR="00EB269B" w:rsidRPr="00904475">
        <w:rPr>
          <w:color w:val="FF0000"/>
          <w:sz w:val="40"/>
          <w:szCs w:val="36"/>
        </w:rPr>
        <w:t>Znaki za</w:t>
      </w:r>
      <w:r w:rsidR="007868AA" w:rsidRPr="00904475">
        <w:rPr>
          <w:color w:val="FF0000"/>
          <w:sz w:val="40"/>
          <w:szCs w:val="36"/>
        </w:rPr>
        <w:t xml:space="preserve"> varnost in</w:t>
      </w:r>
      <w:r w:rsidR="00EB269B" w:rsidRPr="00904475">
        <w:rPr>
          <w:color w:val="FF0000"/>
          <w:sz w:val="40"/>
          <w:szCs w:val="36"/>
        </w:rPr>
        <w:t xml:space="preserve"> kakovos</w:t>
      </w:r>
      <w:r w:rsidR="007868AA" w:rsidRPr="00904475">
        <w:rPr>
          <w:color w:val="FF0000"/>
          <w:sz w:val="40"/>
          <w:szCs w:val="36"/>
        </w:rPr>
        <w:t>t živil</w:t>
      </w:r>
    </w:p>
    <w:p w:rsidR="00F35E4F" w:rsidRDefault="00F35E4F" w:rsidP="00F35E4F">
      <w:pPr>
        <w:pStyle w:val="Odstavekseznama"/>
      </w:pPr>
    </w:p>
    <w:p w:rsidR="000C54D3" w:rsidRPr="00835DDB" w:rsidRDefault="00835DDB" w:rsidP="00D9490E">
      <w:pPr>
        <w:spacing w:after="200" w:line="360" w:lineRule="auto"/>
        <w:jc w:val="both"/>
        <w:rPr>
          <w:sz w:val="32"/>
          <w:szCs w:val="32"/>
        </w:rPr>
      </w:pPr>
      <w:r>
        <w:rPr>
          <w:sz w:val="32"/>
          <w:szCs w:val="32"/>
        </w:rPr>
        <w:t xml:space="preserve">UVOD (samo preberi): </w:t>
      </w:r>
      <w:r w:rsidR="00B35B68" w:rsidRPr="00835DDB">
        <w:rPr>
          <w:sz w:val="32"/>
          <w:szCs w:val="32"/>
        </w:rPr>
        <w:t>Predpakirano živilo, surovo, predelano ali celo živilo, ki je pripravljeno za takojšnje uživanje, mora biti pripravljeno in pakirano tako, da ohrani kakovostne lastnosti in da je njegovo uživanje varno. Osnovne informacije o kakovosti, sestavi in varnosti predpakiranega živila zagotavljajo proizvajalci in trgovci tako, da jih označijo na embalaži ali etiketi.</w:t>
      </w:r>
    </w:p>
    <w:p w:rsidR="000C54D3" w:rsidRPr="00F76823" w:rsidRDefault="00835DDB" w:rsidP="00F76823">
      <w:pPr>
        <w:pStyle w:val="Odstavekseznama"/>
        <w:numPr>
          <w:ilvl w:val="0"/>
          <w:numId w:val="4"/>
        </w:numPr>
        <w:spacing w:after="200" w:line="360" w:lineRule="auto"/>
        <w:rPr>
          <w:sz w:val="36"/>
          <w:szCs w:val="36"/>
        </w:rPr>
      </w:pPr>
      <w:r w:rsidRPr="00F76823">
        <w:rPr>
          <w:sz w:val="36"/>
          <w:szCs w:val="36"/>
        </w:rPr>
        <w:t>NALOGA:</w:t>
      </w:r>
      <w:r w:rsidR="000C54D3" w:rsidRPr="00F76823">
        <w:rPr>
          <w:sz w:val="36"/>
          <w:szCs w:val="36"/>
        </w:rPr>
        <w:t xml:space="preserve"> </w:t>
      </w:r>
      <w:r w:rsidR="00D9490E">
        <w:rPr>
          <w:b/>
          <w:bCs/>
          <w:i/>
          <w:iCs/>
          <w:sz w:val="36"/>
          <w:szCs w:val="36"/>
        </w:rPr>
        <w:t>Z</w:t>
      </w:r>
      <w:r w:rsidR="000C54D3" w:rsidRPr="00F76823">
        <w:rPr>
          <w:b/>
          <w:bCs/>
          <w:i/>
          <w:iCs/>
          <w:sz w:val="36"/>
          <w:szCs w:val="36"/>
        </w:rPr>
        <w:t>nak</w:t>
      </w:r>
      <w:r w:rsidR="000C33F0" w:rsidRPr="00F76823">
        <w:rPr>
          <w:b/>
          <w:bCs/>
          <w:i/>
          <w:iCs/>
          <w:sz w:val="36"/>
          <w:szCs w:val="36"/>
        </w:rPr>
        <w:t>e za varnost in kakovost živil (samo okrogle)</w:t>
      </w:r>
      <w:r w:rsidR="000C54D3" w:rsidRPr="00F76823">
        <w:rPr>
          <w:b/>
          <w:bCs/>
          <w:i/>
          <w:iCs/>
          <w:sz w:val="36"/>
          <w:szCs w:val="36"/>
        </w:rPr>
        <w:t xml:space="preserve"> </w:t>
      </w:r>
      <w:r w:rsidR="003D7691" w:rsidRPr="00F76823">
        <w:rPr>
          <w:b/>
          <w:bCs/>
          <w:i/>
          <w:iCs/>
          <w:sz w:val="36"/>
          <w:szCs w:val="36"/>
        </w:rPr>
        <w:t>PRERIŠI</w:t>
      </w:r>
      <w:r w:rsidR="000C54D3" w:rsidRPr="00F76823">
        <w:rPr>
          <w:b/>
          <w:bCs/>
          <w:i/>
          <w:iCs/>
          <w:sz w:val="36"/>
          <w:szCs w:val="36"/>
        </w:rPr>
        <w:t xml:space="preserve"> v zvezek</w:t>
      </w:r>
      <w:r w:rsidR="005A7CA7" w:rsidRPr="00F76823">
        <w:rPr>
          <w:b/>
          <w:bCs/>
          <w:i/>
          <w:iCs/>
          <w:sz w:val="36"/>
          <w:szCs w:val="36"/>
        </w:rPr>
        <w:t xml:space="preserve"> in zraven</w:t>
      </w:r>
      <w:r w:rsidR="00510FBD" w:rsidRPr="00F76823">
        <w:rPr>
          <w:b/>
          <w:bCs/>
          <w:i/>
          <w:iCs/>
          <w:sz w:val="36"/>
          <w:szCs w:val="36"/>
        </w:rPr>
        <w:t xml:space="preserve"> DOPIŠI</w:t>
      </w:r>
      <w:r w:rsidR="005A7CA7" w:rsidRPr="00F76823">
        <w:rPr>
          <w:b/>
          <w:bCs/>
          <w:i/>
          <w:iCs/>
          <w:sz w:val="36"/>
          <w:szCs w:val="36"/>
        </w:rPr>
        <w:t xml:space="preserve"> </w:t>
      </w:r>
      <w:r w:rsidR="003D7691" w:rsidRPr="00F76823">
        <w:rPr>
          <w:b/>
          <w:bCs/>
          <w:i/>
          <w:iCs/>
          <w:sz w:val="36"/>
          <w:szCs w:val="36"/>
        </w:rPr>
        <w:t>katere jedi imajo to označbo</w:t>
      </w:r>
      <w:r w:rsidR="005A7CA7" w:rsidRPr="00F76823">
        <w:rPr>
          <w:b/>
          <w:bCs/>
          <w:i/>
          <w:iCs/>
          <w:sz w:val="36"/>
          <w:szCs w:val="36"/>
        </w:rPr>
        <w:t>.</w:t>
      </w:r>
      <w:r w:rsidR="00385DF1" w:rsidRPr="00F76823">
        <w:rPr>
          <w:b/>
          <w:bCs/>
          <w:i/>
          <w:iCs/>
          <w:sz w:val="36"/>
          <w:szCs w:val="36"/>
          <w:u w:val="single"/>
        </w:rPr>
        <w:t xml:space="preserve"> Delovnega lista ne tiskaj. </w:t>
      </w:r>
      <w:r w:rsidR="00385DF1" w:rsidRPr="00F76823">
        <w:rPr>
          <w:sz w:val="36"/>
          <w:szCs w:val="36"/>
        </w:rPr>
        <w:t xml:space="preserve">  </w:t>
      </w:r>
      <w:r w:rsidR="00F76823">
        <w:rPr>
          <w:sz w:val="36"/>
          <w:szCs w:val="36"/>
        </w:rPr>
        <w:t>(</w:t>
      </w:r>
      <w:r w:rsidR="00385DF1" w:rsidRPr="00F76823">
        <w:rPr>
          <w:sz w:val="32"/>
          <w:szCs w:val="32"/>
        </w:rPr>
        <w:t>Pomagaj si z učbenikom in spletom.</w:t>
      </w:r>
      <w:r w:rsidR="00F76823">
        <w:rPr>
          <w:sz w:val="32"/>
          <w:szCs w:val="32"/>
        </w:rPr>
        <w:t>)</w:t>
      </w:r>
    </w:p>
    <w:p w:rsidR="000C54D3" w:rsidRDefault="000C54D3" w:rsidP="000C54D3">
      <w:pPr>
        <w:pStyle w:val="Odstavekseznama"/>
        <w:spacing w:after="200" w:line="360" w:lineRule="auto"/>
      </w:pPr>
    </w:p>
    <w:p w:rsidR="000C54D3" w:rsidRDefault="000C54D3" w:rsidP="000C54D3">
      <w:pPr>
        <w:pStyle w:val="Odstavekseznama"/>
        <w:spacing w:after="200" w:line="360" w:lineRule="auto"/>
      </w:pPr>
      <w:r>
        <w:rPr>
          <w:noProof/>
          <w:lang w:val="hr-HR" w:eastAsia="hr-HR"/>
        </w:rPr>
        <w:drawing>
          <wp:inline distT="0" distB="0" distL="0" distR="0">
            <wp:extent cx="2946400" cy="1549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r>
        <w:t xml:space="preserve"> </w:t>
      </w:r>
      <w:r w:rsidR="0097629F">
        <w:t>Prekmurska gibanica, Idrijski žlikrofi, Belokranjska potica</w:t>
      </w:r>
      <w:r w:rsidR="00F72156">
        <w:t>, Slovenska potica</w:t>
      </w:r>
      <w:r>
        <w:t>.</w:t>
      </w:r>
    </w:p>
    <w:p w:rsidR="000C54D3" w:rsidRDefault="000C54D3" w:rsidP="000C54D3">
      <w:pPr>
        <w:pStyle w:val="Odstavekseznama"/>
        <w:spacing w:after="200" w:line="360" w:lineRule="auto"/>
      </w:pPr>
      <w:r>
        <w:rPr>
          <w:noProof/>
          <w:lang w:val="hr-HR" w:eastAsia="hr-HR"/>
        </w:rPr>
        <w:drawing>
          <wp:inline distT="0" distB="0" distL="0" distR="0">
            <wp:extent cx="2946400" cy="1549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r w:rsidR="003D7691">
        <w:t xml:space="preserve">Kraški pršut, </w:t>
      </w:r>
      <w:proofErr w:type="spellStart"/>
      <w:r w:rsidR="003D7691">
        <w:t>Zgornjesavinjski</w:t>
      </w:r>
      <w:proofErr w:type="spellEnd"/>
      <w:r w:rsidR="003D7691">
        <w:t xml:space="preserve"> želodec, Štajerko-</w:t>
      </w:r>
      <w:proofErr w:type="spellStart"/>
      <w:r w:rsidR="003D7691">
        <w:t>prekmurko</w:t>
      </w:r>
      <w:proofErr w:type="spellEnd"/>
      <w:r w:rsidR="003D7691">
        <w:t xml:space="preserve"> bučno olje, Kraški panceta</w:t>
      </w:r>
      <w:r w:rsidR="007E5E3E">
        <w:t>, Slovenski med, ..</w:t>
      </w:r>
      <w:r>
        <w:t>.</w:t>
      </w:r>
    </w:p>
    <w:p w:rsidR="00EE06AD" w:rsidRDefault="00C346E7" w:rsidP="000C54D3">
      <w:pPr>
        <w:pStyle w:val="Odstavekseznama"/>
        <w:spacing w:after="200" w:line="360" w:lineRule="auto"/>
      </w:pPr>
      <w:r>
        <w:rPr>
          <w:noProof/>
          <w:lang w:val="hr-HR" w:eastAsia="hr-HR"/>
        </w:rPr>
        <w:lastRenderedPageBreak/>
        <w:drawing>
          <wp:inline distT="0" distB="0" distL="0" distR="0" wp14:anchorId="2B055062" wp14:editId="05E9970C">
            <wp:extent cx="3175000" cy="143954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439545"/>
                    </a:xfrm>
                    <a:prstGeom prst="rect">
                      <a:avLst/>
                    </a:prstGeom>
                    <a:noFill/>
                    <a:ln>
                      <a:noFill/>
                    </a:ln>
                  </pic:spPr>
                </pic:pic>
              </a:graphicData>
            </a:graphic>
          </wp:inline>
        </w:drawing>
      </w:r>
      <w:r w:rsidR="007E5E3E">
        <w:t xml:space="preserve">Sir </w:t>
      </w:r>
      <w:proofErr w:type="spellStart"/>
      <w:r w:rsidR="007E5E3E">
        <w:t>Tolminc</w:t>
      </w:r>
      <w:proofErr w:type="spellEnd"/>
      <w:r w:rsidR="007E5E3E">
        <w:t>, Piranska sol, Bovški sir, Ekstra deviško oljčno olje Slovenske Istre</w:t>
      </w:r>
      <w:r w:rsidR="000C33F0">
        <w:t xml:space="preserve">, Sir </w:t>
      </w:r>
      <w:proofErr w:type="spellStart"/>
      <w:r w:rsidR="000C33F0">
        <w:t>Mohant</w:t>
      </w:r>
      <w:proofErr w:type="spellEnd"/>
      <w:r w:rsidR="000C33F0">
        <w:t xml:space="preserve">, </w:t>
      </w:r>
      <w:r w:rsidR="00385DF1">
        <w:t>…</w:t>
      </w:r>
    </w:p>
    <w:p w:rsidR="00C346E7" w:rsidRDefault="00C346E7" w:rsidP="000C54D3">
      <w:pPr>
        <w:pStyle w:val="Odstavekseznama"/>
        <w:spacing w:after="200" w:line="360" w:lineRule="auto"/>
      </w:pPr>
    </w:p>
    <w:p w:rsidR="00C346E7" w:rsidRPr="00F76823" w:rsidRDefault="00F76823" w:rsidP="00F76823">
      <w:pPr>
        <w:pStyle w:val="Odstavekseznama"/>
        <w:numPr>
          <w:ilvl w:val="0"/>
          <w:numId w:val="4"/>
        </w:numPr>
        <w:spacing w:after="200" w:line="360" w:lineRule="auto"/>
      </w:pPr>
      <w:r>
        <w:rPr>
          <w:sz w:val="36"/>
          <w:szCs w:val="36"/>
        </w:rPr>
        <w:t xml:space="preserve">Napiši kakšna je razlika </w:t>
      </w:r>
      <w:r w:rsidR="00D9490E">
        <w:rPr>
          <w:sz w:val="36"/>
          <w:szCs w:val="36"/>
        </w:rPr>
        <w:t xml:space="preserve">med </w:t>
      </w:r>
      <w:r>
        <w:rPr>
          <w:sz w:val="36"/>
          <w:szCs w:val="36"/>
        </w:rPr>
        <w:t xml:space="preserve">znakoma za varnost in kakovost živil. </w:t>
      </w:r>
      <w:r w:rsidRPr="00F76823">
        <w:rPr>
          <w:sz w:val="28"/>
          <w:szCs w:val="28"/>
        </w:rPr>
        <w:t>(Pomagaj si z učbenikom in spletom.)</w:t>
      </w:r>
    </w:p>
    <w:p w:rsidR="00F76823" w:rsidRDefault="00F76823" w:rsidP="00F76823">
      <w:pPr>
        <w:pStyle w:val="Odstavekseznama"/>
        <w:spacing w:after="200" w:line="360" w:lineRule="auto"/>
      </w:pPr>
    </w:p>
    <w:p w:rsidR="000C54D3" w:rsidRDefault="00EE06AD" w:rsidP="000C54D3">
      <w:pPr>
        <w:pStyle w:val="Odstavekseznama"/>
        <w:spacing w:after="200" w:line="360" w:lineRule="auto"/>
      </w:pPr>
      <w:r>
        <w:rPr>
          <w:noProof/>
          <w:lang w:val="hr-HR" w:eastAsia="hr-HR"/>
        </w:rPr>
        <w:drawing>
          <wp:inline distT="0" distB="0" distL="0" distR="0">
            <wp:extent cx="2057400" cy="143065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30655"/>
                    </a:xfrm>
                    <a:prstGeom prst="rect">
                      <a:avLst/>
                    </a:prstGeom>
                    <a:noFill/>
                    <a:ln>
                      <a:noFill/>
                    </a:ln>
                  </pic:spPr>
                </pic:pic>
              </a:graphicData>
            </a:graphic>
          </wp:inline>
        </w:drawing>
      </w:r>
      <w:r w:rsidR="00385DF1">
        <w:rPr>
          <w:rFonts w:ascii="Arial" w:hAnsi="Arial" w:cs="Arial"/>
          <w:color w:val="444444"/>
          <w:sz w:val="18"/>
          <w:szCs w:val="18"/>
          <w:shd w:val="clear" w:color="auto" w:fill="FFFFFF"/>
        </w:rPr>
        <w:t>Slovensko združenje za integrirano pridelavo zelenjave združuje v svoji ponudbi pod znamko Pikapolonica pestro paleto sveže in okusne zelenjave iz integrirane pridelave iz Slovenije.</w:t>
      </w:r>
    </w:p>
    <w:p w:rsidR="00F35E4F" w:rsidRDefault="00F35E4F" w:rsidP="00F35E4F"/>
    <w:p w:rsidR="00385DF1" w:rsidRDefault="00385DF1" w:rsidP="00F35E4F"/>
    <w:p w:rsidR="00385DF1" w:rsidRDefault="00385DF1" w:rsidP="00F35E4F"/>
    <w:p w:rsidR="00F35E4F" w:rsidRDefault="00F35E4F" w:rsidP="00F35E4F"/>
    <w:p w:rsidR="00EE06AD" w:rsidRDefault="00EE06AD" w:rsidP="0049440A">
      <w:pPr>
        <w:pStyle w:val="Odstavekseznama"/>
        <w:ind w:left="761"/>
        <w:rPr>
          <w:noProof/>
        </w:rPr>
      </w:pPr>
    </w:p>
    <w:p w:rsidR="00EE06AD" w:rsidRDefault="00DD7C03" w:rsidP="0049440A">
      <w:pPr>
        <w:pStyle w:val="Odstavekseznama"/>
        <w:ind w:left="761"/>
        <w:rPr>
          <w:noProof/>
        </w:rPr>
      </w:pPr>
      <w:r>
        <w:rPr>
          <w:noProof/>
          <w:lang w:val="hr-HR" w:eastAsia="hr-HR"/>
        </w:rPr>
        <w:drawing>
          <wp:inline distT="0" distB="0" distL="0" distR="0" wp14:anchorId="38E1FCB5" wp14:editId="50A887C4">
            <wp:extent cx="1447800" cy="1396239"/>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56827" t="-3773"/>
                    <a:stretch/>
                  </pic:blipFill>
                  <pic:spPr bwMode="auto">
                    <a:xfrm>
                      <a:off x="0" y="0"/>
                      <a:ext cx="1465923" cy="1413716"/>
                    </a:xfrm>
                    <a:prstGeom prst="rect">
                      <a:avLst/>
                    </a:prstGeom>
                    <a:noFill/>
                    <a:ln>
                      <a:noFill/>
                    </a:ln>
                    <a:extLst>
                      <a:ext uri="{53640926-AAD7-44D8-BBD7-CCE9431645EC}">
                        <a14:shadowObscured xmlns:a14="http://schemas.microsoft.com/office/drawing/2010/main"/>
                      </a:ext>
                    </a:extLst>
                  </pic:spPr>
                </pic:pic>
              </a:graphicData>
            </a:graphic>
          </wp:inline>
        </w:drawing>
      </w:r>
      <w:r w:rsidR="00EE06AD">
        <w:t xml:space="preserve">           </w:t>
      </w:r>
    </w:p>
    <w:p w:rsidR="0049440A" w:rsidRDefault="00EE06AD" w:rsidP="00385DF1">
      <w:pPr>
        <w:pStyle w:val="Odstavekseznama"/>
        <w:ind w:left="761"/>
      </w:pPr>
      <w:r>
        <w:rPr>
          <w:noProof/>
          <w:lang w:val="hr-HR" w:eastAsia="hr-HR"/>
        </w:rPr>
        <w:drawing>
          <wp:inline distT="0" distB="0" distL="0" distR="0">
            <wp:extent cx="1454639" cy="30501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t="75472" r="42428"/>
                    <a:stretch/>
                  </pic:blipFill>
                  <pic:spPr bwMode="auto">
                    <a:xfrm>
                      <a:off x="0" y="0"/>
                      <a:ext cx="1704218" cy="357344"/>
                    </a:xfrm>
                    <a:prstGeom prst="rect">
                      <a:avLst/>
                    </a:prstGeom>
                    <a:noFill/>
                    <a:ln>
                      <a:noFill/>
                    </a:ln>
                    <a:extLst>
                      <a:ext uri="{53640926-AAD7-44D8-BBD7-CCE9431645EC}">
                        <a14:shadowObscured xmlns:a14="http://schemas.microsoft.com/office/drawing/2010/main"/>
                      </a:ext>
                    </a:extLst>
                  </pic:spPr>
                </pic:pic>
              </a:graphicData>
            </a:graphic>
          </wp:inline>
        </w:drawing>
      </w:r>
      <w:r w:rsidR="00385DF1">
        <w:rPr>
          <w:rFonts w:ascii="Arial" w:hAnsi="Arial" w:cs="Arial"/>
          <w:color w:val="000000"/>
          <w:sz w:val="18"/>
          <w:szCs w:val="18"/>
          <w:shd w:val="clear" w:color="auto" w:fill="FFFFFF"/>
        </w:rPr>
        <w:t xml:space="preserve">Potrošnikom daje znak zagotovilo o izvoru in kakovosti živil. Od julija 2010 je ta znak obvezen za vse predpakirane ekološke živilske izdelke znotraj Evropske unije, prav tako pa je dovoljena tudi prostovoljna raba znaka za </w:t>
      </w:r>
      <w:proofErr w:type="spellStart"/>
      <w:r w:rsidR="00385DF1">
        <w:rPr>
          <w:rFonts w:ascii="Arial" w:hAnsi="Arial" w:cs="Arial"/>
          <w:color w:val="000000"/>
          <w:sz w:val="18"/>
          <w:szCs w:val="18"/>
          <w:shd w:val="clear" w:color="auto" w:fill="FFFFFF"/>
        </w:rPr>
        <w:t>nepredpakirana</w:t>
      </w:r>
      <w:proofErr w:type="spellEnd"/>
      <w:r w:rsidR="00385DF1">
        <w:rPr>
          <w:rFonts w:ascii="Arial" w:hAnsi="Arial" w:cs="Arial"/>
          <w:color w:val="000000"/>
          <w:sz w:val="18"/>
          <w:szCs w:val="18"/>
          <w:shd w:val="clear" w:color="auto" w:fill="FFFFFF"/>
        </w:rPr>
        <w:t xml:space="preserve"> ekološka živila, ki so bila proizvedena znotraj EU, ali za vse ekološke izdelke, uvožene iz tretjih držav.</w:t>
      </w:r>
    </w:p>
    <w:sectPr w:rsidR="0049440A" w:rsidSect="00A1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695"/>
    <w:multiLevelType w:val="hybridMultilevel"/>
    <w:tmpl w:val="3FE6B06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 w15:restartNumberingAfterBreak="0">
    <w:nsid w:val="174C7F7D"/>
    <w:multiLevelType w:val="hybridMultilevel"/>
    <w:tmpl w:val="78AAA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0E629D"/>
    <w:multiLevelType w:val="hybridMultilevel"/>
    <w:tmpl w:val="8EDE5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C8010A"/>
    <w:multiLevelType w:val="hybridMultilevel"/>
    <w:tmpl w:val="568A5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83"/>
    <w:rsid w:val="000C33F0"/>
    <w:rsid w:val="000C54D3"/>
    <w:rsid w:val="000D5199"/>
    <w:rsid w:val="001D0E48"/>
    <w:rsid w:val="002172A8"/>
    <w:rsid w:val="002C114F"/>
    <w:rsid w:val="002E5BCB"/>
    <w:rsid w:val="00364459"/>
    <w:rsid w:val="0036616F"/>
    <w:rsid w:val="00385DF1"/>
    <w:rsid w:val="003965FA"/>
    <w:rsid w:val="003D7691"/>
    <w:rsid w:val="0049440A"/>
    <w:rsid w:val="00510FBD"/>
    <w:rsid w:val="0056755D"/>
    <w:rsid w:val="0058790A"/>
    <w:rsid w:val="005A7CA7"/>
    <w:rsid w:val="006277A8"/>
    <w:rsid w:val="006C3728"/>
    <w:rsid w:val="007565D4"/>
    <w:rsid w:val="0078689E"/>
    <w:rsid w:val="007868AA"/>
    <w:rsid w:val="00794D86"/>
    <w:rsid w:val="007E5E3E"/>
    <w:rsid w:val="008312BE"/>
    <w:rsid w:val="00835DDB"/>
    <w:rsid w:val="008E47DD"/>
    <w:rsid w:val="00902FAD"/>
    <w:rsid w:val="00904475"/>
    <w:rsid w:val="0093680D"/>
    <w:rsid w:val="009432FA"/>
    <w:rsid w:val="0097629F"/>
    <w:rsid w:val="009A7693"/>
    <w:rsid w:val="009D1475"/>
    <w:rsid w:val="009E50DE"/>
    <w:rsid w:val="00A024D9"/>
    <w:rsid w:val="00A15758"/>
    <w:rsid w:val="00A16344"/>
    <w:rsid w:val="00B02CDF"/>
    <w:rsid w:val="00B077C3"/>
    <w:rsid w:val="00B35B68"/>
    <w:rsid w:val="00B40F9C"/>
    <w:rsid w:val="00B70766"/>
    <w:rsid w:val="00B75B9B"/>
    <w:rsid w:val="00C346E7"/>
    <w:rsid w:val="00CA3A3B"/>
    <w:rsid w:val="00CE6667"/>
    <w:rsid w:val="00D4600B"/>
    <w:rsid w:val="00D46BE2"/>
    <w:rsid w:val="00D858A4"/>
    <w:rsid w:val="00D9490E"/>
    <w:rsid w:val="00DA7888"/>
    <w:rsid w:val="00DD4911"/>
    <w:rsid w:val="00DD7C03"/>
    <w:rsid w:val="00DF6B8B"/>
    <w:rsid w:val="00E2024D"/>
    <w:rsid w:val="00E478C8"/>
    <w:rsid w:val="00E53C83"/>
    <w:rsid w:val="00E60697"/>
    <w:rsid w:val="00E71678"/>
    <w:rsid w:val="00EB269B"/>
    <w:rsid w:val="00EE06AD"/>
    <w:rsid w:val="00F35E4F"/>
    <w:rsid w:val="00F3742F"/>
    <w:rsid w:val="00F72156"/>
    <w:rsid w:val="00F768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F33D-E748-4887-8025-0E64278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3C8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A7693"/>
    <w:pPr>
      <w:keepNext/>
      <w:keepLines/>
      <w:spacing w:before="480" w:line="360" w:lineRule="auto"/>
      <w:outlineLvl w:val="0"/>
    </w:pPr>
    <w:rPr>
      <w:rFonts w:eastAsiaTheme="majorEastAsia" w:cstheme="majorBidi"/>
      <w:b/>
      <w:bCs/>
      <w:color w:val="365F91" w:themeColor="accent1" w:themeShade="BF"/>
      <w:sz w:val="28"/>
      <w:szCs w:val="28"/>
      <w:lang w:eastAsia="en-US"/>
    </w:rPr>
  </w:style>
  <w:style w:type="paragraph" w:styleId="Naslov2">
    <w:name w:val="heading 2"/>
    <w:basedOn w:val="Navaden"/>
    <w:next w:val="Navaden"/>
    <w:link w:val="Naslov2Znak"/>
    <w:unhideWhenUsed/>
    <w:qFormat/>
    <w:rsid w:val="009A7693"/>
    <w:pPr>
      <w:keepNext/>
      <w:keepLines/>
      <w:spacing w:before="200" w:line="360" w:lineRule="auto"/>
      <w:outlineLvl w:val="1"/>
    </w:pPr>
    <w:rPr>
      <w:rFonts w:eastAsiaTheme="majorEastAsia"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78689E"/>
    <w:pPr>
      <w:keepNext/>
      <w:keepLines/>
      <w:spacing w:before="200" w:line="360" w:lineRule="auto"/>
      <w:outlineLvl w:val="2"/>
    </w:pPr>
    <w:rPr>
      <w:rFonts w:asciiTheme="majorHAnsi" w:eastAsiaTheme="majorEastAsia" w:hAnsiTheme="majorHAnsi" w:cstheme="majorBidi"/>
      <w:b/>
      <w:bCs/>
      <w:color w:val="4F81BD" w:themeColor="accent1"/>
      <w:sz w:val="20"/>
      <w:szCs w:val="22"/>
      <w:lang w:eastAsia="en-US"/>
    </w:rPr>
  </w:style>
  <w:style w:type="paragraph" w:styleId="Naslov4">
    <w:name w:val="heading 4"/>
    <w:basedOn w:val="Navaden"/>
    <w:next w:val="Navaden"/>
    <w:link w:val="Naslov4Znak"/>
    <w:qFormat/>
    <w:rsid w:val="00E53C83"/>
    <w:pPr>
      <w:keepNext/>
      <w:jc w:val="both"/>
      <w:outlineLvl w:val="3"/>
    </w:pPr>
    <w:rPr>
      <w:i/>
      <w:sz w:val="28"/>
      <w:szCs w:val="20"/>
    </w:rPr>
  </w:style>
  <w:style w:type="paragraph" w:styleId="Naslov5">
    <w:name w:val="heading 5"/>
    <w:basedOn w:val="Navaden"/>
    <w:next w:val="Navaden"/>
    <w:link w:val="Naslov5Znak"/>
    <w:qFormat/>
    <w:rsid w:val="00E53C83"/>
    <w:pPr>
      <w:keepNext/>
      <w:outlineLvl w:val="4"/>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A7693"/>
    <w:rPr>
      <w:rFonts w:ascii="Times New Roman" w:eastAsiaTheme="majorEastAsia" w:hAnsi="Times New Roman" w:cstheme="majorBidi"/>
      <w:b/>
      <w:bCs/>
      <w:color w:val="365F91" w:themeColor="accent1" w:themeShade="BF"/>
      <w:sz w:val="28"/>
      <w:szCs w:val="28"/>
    </w:rPr>
  </w:style>
  <w:style w:type="character" w:customStyle="1" w:styleId="Naslov2Znak">
    <w:name w:val="Naslov 2 Znak"/>
    <w:basedOn w:val="Privzetapisavaodstavka"/>
    <w:link w:val="Naslov2"/>
    <w:uiPriority w:val="9"/>
    <w:rsid w:val="009A7693"/>
    <w:rPr>
      <w:rFonts w:ascii="Times New Roman" w:eastAsiaTheme="majorEastAsia" w:hAnsi="Times New Roman" w:cstheme="majorBidi"/>
      <w:b/>
      <w:bCs/>
      <w:color w:val="4F81BD" w:themeColor="accent1"/>
      <w:sz w:val="26"/>
      <w:szCs w:val="26"/>
    </w:rPr>
  </w:style>
  <w:style w:type="paragraph" w:styleId="Naslov">
    <w:name w:val="Title"/>
    <w:basedOn w:val="Navaden"/>
    <w:next w:val="Navaden"/>
    <w:link w:val="NaslovZnak"/>
    <w:uiPriority w:val="10"/>
    <w:qFormat/>
    <w:rsid w:val="009A769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NaslovZnak">
    <w:name w:val="Naslov Znak"/>
    <w:basedOn w:val="Privzetapisavaodstavka"/>
    <w:link w:val="Naslov"/>
    <w:uiPriority w:val="10"/>
    <w:rsid w:val="009A7693"/>
    <w:rPr>
      <w:rFonts w:ascii="Times New Roman" w:eastAsiaTheme="majorEastAsia" w:hAnsi="Times New Roman" w:cstheme="majorBidi"/>
      <w:color w:val="17365D" w:themeColor="text2" w:themeShade="BF"/>
      <w:spacing w:val="5"/>
      <w:kern w:val="28"/>
      <w:sz w:val="52"/>
      <w:szCs w:val="52"/>
    </w:rPr>
  </w:style>
  <w:style w:type="paragraph" w:styleId="Brezrazmikov">
    <w:name w:val="No Spacing"/>
    <w:uiPriority w:val="1"/>
    <w:qFormat/>
    <w:rsid w:val="009A7693"/>
    <w:pPr>
      <w:spacing w:after="0" w:line="240" w:lineRule="auto"/>
    </w:pPr>
    <w:rPr>
      <w:rFonts w:ascii="Times New Roman" w:hAnsi="Times New Roman"/>
      <w:sz w:val="24"/>
    </w:rPr>
  </w:style>
  <w:style w:type="paragraph" w:styleId="Podnaslov">
    <w:name w:val="Subtitle"/>
    <w:basedOn w:val="Navaden"/>
    <w:next w:val="Navaden"/>
    <w:link w:val="PodnaslovZnak"/>
    <w:uiPriority w:val="11"/>
    <w:qFormat/>
    <w:rsid w:val="009A7693"/>
    <w:pPr>
      <w:numPr>
        <w:ilvl w:val="1"/>
      </w:numPr>
      <w:spacing w:after="200" w:line="360" w:lineRule="auto"/>
    </w:pPr>
    <w:rPr>
      <w:rFonts w:eastAsiaTheme="majorEastAsia" w:cstheme="majorBidi"/>
      <w:i/>
      <w:iCs/>
      <w:color w:val="4F81BD" w:themeColor="accent1"/>
      <w:spacing w:val="15"/>
      <w:lang w:eastAsia="en-US"/>
    </w:rPr>
  </w:style>
  <w:style w:type="character" w:customStyle="1" w:styleId="PodnaslovZnak">
    <w:name w:val="Podnaslov Znak"/>
    <w:basedOn w:val="Privzetapisavaodstavka"/>
    <w:link w:val="Podnaslov"/>
    <w:uiPriority w:val="11"/>
    <w:rsid w:val="009A7693"/>
    <w:rPr>
      <w:rFonts w:ascii="Times New Roman" w:eastAsiaTheme="majorEastAsia" w:hAnsi="Times New Roman" w:cstheme="majorBidi"/>
      <w:i/>
      <w:iCs/>
      <w:color w:val="4F81BD" w:themeColor="accent1"/>
      <w:spacing w:val="15"/>
      <w:sz w:val="24"/>
      <w:szCs w:val="24"/>
    </w:rPr>
  </w:style>
  <w:style w:type="character" w:styleId="Neenpoudarek">
    <w:name w:val="Subtle Emphasis"/>
    <w:basedOn w:val="Privzetapisavaodstavka"/>
    <w:uiPriority w:val="19"/>
    <w:qFormat/>
    <w:rsid w:val="009A7693"/>
    <w:rPr>
      <w:rFonts w:ascii="Times New Roman" w:hAnsi="Times New Roman"/>
      <w:i/>
      <w:iCs/>
      <w:color w:val="808080" w:themeColor="text1" w:themeTint="7F"/>
    </w:rPr>
  </w:style>
  <w:style w:type="character" w:customStyle="1" w:styleId="Naslov3Znak">
    <w:name w:val="Naslov 3 Znak"/>
    <w:basedOn w:val="Privzetapisavaodstavka"/>
    <w:link w:val="Naslov3"/>
    <w:uiPriority w:val="9"/>
    <w:semiHidden/>
    <w:rsid w:val="0078689E"/>
    <w:rPr>
      <w:rFonts w:asciiTheme="majorHAnsi" w:eastAsiaTheme="majorEastAsia" w:hAnsiTheme="majorHAnsi" w:cstheme="majorBidi"/>
      <w:b/>
      <w:bCs/>
      <w:color w:val="4F81BD" w:themeColor="accent1"/>
      <w:sz w:val="20"/>
    </w:rPr>
  </w:style>
  <w:style w:type="character" w:customStyle="1" w:styleId="Naslov4Znak">
    <w:name w:val="Naslov 4 Znak"/>
    <w:basedOn w:val="Privzetapisavaodstavka"/>
    <w:link w:val="Naslov4"/>
    <w:rsid w:val="00E53C83"/>
    <w:rPr>
      <w:rFonts w:ascii="Times New Roman" w:eastAsia="Times New Roman" w:hAnsi="Times New Roman" w:cs="Times New Roman"/>
      <w:i/>
      <w:sz w:val="28"/>
      <w:szCs w:val="20"/>
      <w:lang w:eastAsia="sl-SI"/>
    </w:rPr>
  </w:style>
  <w:style w:type="character" w:customStyle="1" w:styleId="Naslov5Znak">
    <w:name w:val="Naslov 5 Znak"/>
    <w:basedOn w:val="Privzetapisavaodstavka"/>
    <w:link w:val="Naslov5"/>
    <w:rsid w:val="00E53C8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E53C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3C83"/>
    <w:rPr>
      <w:rFonts w:ascii="Tahoma" w:eastAsia="Times New Roman" w:hAnsi="Tahoma" w:cs="Tahoma"/>
      <w:sz w:val="16"/>
      <w:szCs w:val="16"/>
      <w:lang w:eastAsia="sl-SI"/>
    </w:rPr>
  </w:style>
  <w:style w:type="table" w:styleId="Tabelamrea">
    <w:name w:val="Table Grid"/>
    <w:basedOn w:val="Navadnatabela"/>
    <w:uiPriority w:val="59"/>
    <w:rsid w:val="00DF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94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C600-7F70-4E96-9B28-B4CABA12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dc:creator>
  <cp:lastModifiedBy>Ingrid Janezic</cp:lastModifiedBy>
  <cp:revision>2</cp:revision>
  <dcterms:created xsi:type="dcterms:W3CDTF">2020-04-06T17:52:00Z</dcterms:created>
  <dcterms:modified xsi:type="dcterms:W3CDTF">2020-04-06T17:52:00Z</dcterms:modified>
</cp:coreProperties>
</file>