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2F116C" w:rsidP="002F116C">
      <w:r>
        <w:t>Drage učenke,</w:t>
      </w:r>
    </w:p>
    <w:p w:rsidR="002F116C" w:rsidRDefault="00362418" w:rsidP="002F116C">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362418">
        <w:t xml:space="preserve">le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 xml:space="preserve">Počepnite, desno nogo iztegnite nazaj, z rokami se oprite pred sprednjo nogo, medenico počasi spuščajte </w:t>
            </w:r>
            <w:proofErr w:type="spellStart"/>
            <w:r>
              <w:rPr>
                <w:sz w:val="20"/>
                <w:szCs w:val="20"/>
              </w:rPr>
              <w:t>navzdol.Vajo</w:t>
            </w:r>
            <w:proofErr w:type="spellEnd"/>
            <w:r>
              <w:rPr>
                <w:sz w:val="20"/>
                <w:szCs w:val="20"/>
              </w:rPr>
              <w:t xml:space="preserve">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12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2452F"/>
    <w:rsid w:val="002209AA"/>
    <w:rsid w:val="002F116C"/>
    <w:rsid w:val="00362418"/>
    <w:rsid w:val="00730A6C"/>
    <w:rsid w:val="00C23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84D29-9DD9-4EAD-A11B-B0A5ABE6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2020-05-04T09:23:00Z</dcterms:created>
  <dcterms:modified xsi:type="dcterms:W3CDTF">2020-05-04T09:23:00Z</dcterms:modified>
</cp:coreProperties>
</file>